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2454E" w14:textId="3DE380F9" w:rsidR="0067260E" w:rsidRPr="00EA6BC1" w:rsidRDefault="00D62E92" w:rsidP="0028491E">
      <w:pPr>
        <w:pStyle w:val="pf0"/>
        <w:spacing w:after="280"/>
        <w:jc w:val="center"/>
        <w:rPr>
          <w:rStyle w:val="cf01"/>
          <w:i/>
          <w:iCs/>
        </w:rPr>
      </w:pPr>
      <w:r w:rsidRPr="00EA6BC1">
        <w:rPr>
          <w:noProof/>
        </w:rPr>
        <w:drawing>
          <wp:inline distT="0" distB="0" distL="0" distR="0" wp14:anchorId="4A76F3B9" wp14:editId="5070D9E5">
            <wp:extent cx="721360" cy="721360"/>
            <wp:effectExtent l="0" t="0" r="0" b="0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B242" w14:textId="77777777" w:rsidR="0067260E" w:rsidRPr="00EA6BC1" w:rsidRDefault="0067260E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01C83731" w14:textId="77777777" w:rsidR="0067260E" w:rsidRPr="00EA6BC1" w:rsidRDefault="00D62E92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A6BC1">
        <w:rPr>
          <w:rFonts w:ascii="Tahoma" w:hAnsi="Tahoma" w:cs="Tahoma"/>
          <w:b/>
          <w:bCs/>
          <w:sz w:val="28"/>
          <w:szCs w:val="28"/>
        </w:rPr>
        <w:t>Úřad práce České republiky</w:t>
      </w:r>
    </w:p>
    <w:p w14:paraId="78FA0287" w14:textId="77777777" w:rsidR="0067260E" w:rsidRPr="00EA6BC1" w:rsidRDefault="00D62E92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A6BC1">
        <w:rPr>
          <w:rFonts w:ascii="Tahoma" w:hAnsi="Tahoma" w:cs="Tahoma"/>
          <w:b/>
          <w:bCs/>
          <w:sz w:val="28"/>
          <w:szCs w:val="28"/>
        </w:rPr>
        <w:t>Kontaktní pracoviště Praha 2 a 3</w:t>
      </w:r>
    </w:p>
    <w:p w14:paraId="2A3FE9EF" w14:textId="77777777" w:rsidR="0067260E" w:rsidRPr="00EA6BC1" w:rsidRDefault="0067260E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0FE4E29" w14:textId="77777777" w:rsidR="0067260E" w:rsidRPr="00EA6BC1" w:rsidRDefault="00D62E92">
      <w:pPr>
        <w:jc w:val="center"/>
        <w:rPr>
          <w:rFonts w:ascii="Tahoma" w:hAnsi="Tahoma" w:cs="Tahoma"/>
        </w:rPr>
      </w:pPr>
      <w:r w:rsidRPr="00EA6BC1">
        <w:rPr>
          <w:rFonts w:ascii="Tahoma" w:hAnsi="Tahoma" w:cs="Tahoma"/>
        </w:rPr>
        <w:t>Adresa objektu: Bělehradská 214/86 a 213/88, 120 00 Praha 2</w:t>
      </w:r>
    </w:p>
    <w:p w14:paraId="67098104" w14:textId="77777777" w:rsidR="0067260E" w:rsidRPr="00EA6BC1" w:rsidRDefault="0067260E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72A755AF" w14:textId="77777777" w:rsidR="0067260E" w:rsidRPr="00EA6BC1" w:rsidRDefault="00D62E92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EA6BC1">
        <w:rPr>
          <w:rFonts w:ascii="Tahoma" w:hAnsi="Tahoma" w:cs="Tahoma"/>
          <w:b/>
          <w:bCs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EA6BC1" w:rsidRPr="00EA6BC1" w14:paraId="6979B367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F159C" w14:textId="77777777" w:rsidR="0067260E" w:rsidRPr="00EA6BC1" w:rsidRDefault="00D62E92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EA6BC1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9" behindDoc="0" locked="0" layoutInCell="1" allowOverlap="1" wp14:anchorId="1464104B" wp14:editId="5DD1C88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3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BF0A" w14:textId="77777777" w:rsidR="0067260E" w:rsidRPr="00EA6BC1" w:rsidRDefault="00D62E92">
            <w:pPr>
              <w:widowControl w:val="0"/>
              <w:spacing w:after="0" w:line="20" w:lineRule="atLeast"/>
            </w:pPr>
            <w:r w:rsidRPr="00EA6BC1">
              <w:rPr>
                <w:rFonts w:ascii="Tahoma" w:hAnsi="Tahoma" w:cs="Tahoma"/>
                <w:lang w:eastAsia="en-US"/>
              </w:rPr>
              <w:t>+420 800 77 99 00</w:t>
            </w:r>
          </w:p>
        </w:tc>
      </w:tr>
      <w:tr w:rsidR="00EA6BC1" w:rsidRPr="00EA6BC1" w14:paraId="392610D6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6F46" w14:textId="77777777" w:rsidR="0067260E" w:rsidRPr="00EA6BC1" w:rsidRDefault="00D62E92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EA6BC1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7" behindDoc="0" locked="0" layoutInCell="1" allowOverlap="1" wp14:anchorId="54063D6E" wp14:editId="0E6F77C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4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DD01B" w14:textId="77777777" w:rsidR="0067260E" w:rsidRPr="00EA6BC1" w:rsidRDefault="00D62E92">
            <w:pPr>
              <w:spacing w:after="0" w:line="20" w:lineRule="atLeast"/>
            </w:pPr>
            <w:r w:rsidRPr="00EA6BC1">
              <w:rPr>
                <w:rFonts w:ascii="Tahoma" w:hAnsi="Tahoma" w:cs="Tahoma"/>
                <w:lang w:eastAsia="en-US"/>
              </w:rPr>
              <w:t>IDDS:</w:t>
            </w:r>
            <w:r w:rsidRPr="00EA6BC1">
              <w:rPr>
                <w:rFonts w:ascii="Tahoma" w:hAnsi="Tahoma" w:cs="Tahoma"/>
                <w:shd w:val="clear" w:color="auto" w:fill="FFFFFF"/>
                <w:lang w:eastAsia="en-US"/>
              </w:rPr>
              <w:t xml:space="preserve"> </w:t>
            </w:r>
            <w:hyperlink r:id="rId9">
              <w:proofErr w:type="spellStart"/>
              <w:r w:rsidRPr="00EA6BC1">
                <w:rPr>
                  <w:rStyle w:val="Hypertextovodkaz"/>
                  <w:rFonts w:ascii="Tahoma" w:hAnsi="Tahoma" w:cs="Tahoma"/>
                  <w:color w:val="auto"/>
                  <w:u w:val="none"/>
                  <w:shd w:val="clear" w:color="auto" w:fill="FFFFFF"/>
                  <w:lang w:eastAsia="en-US"/>
                </w:rPr>
                <w:t>wymxmng</w:t>
              </w:r>
              <w:proofErr w:type="spellEnd"/>
            </w:hyperlink>
          </w:p>
          <w:p w14:paraId="7575896D" w14:textId="77777777" w:rsidR="0067260E" w:rsidRPr="00EA6BC1" w:rsidRDefault="00D62E92">
            <w:pPr>
              <w:spacing w:after="0" w:line="20" w:lineRule="atLeast"/>
              <w:jc w:val="left"/>
            </w:pPr>
            <w:r w:rsidRPr="00EA6BC1">
              <w:rPr>
                <w:rFonts w:ascii="Tahoma" w:hAnsi="Tahoma" w:cs="Tahoma"/>
                <w:lang w:eastAsia="en-US"/>
              </w:rPr>
              <w:t xml:space="preserve">e-podatelna: </w:t>
            </w:r>
            <w:hyperlink r:id="rId10">
              <w:r w:rsidRPr="00EA6BC1">
                <w:rPr>
                  <w:rStyle w:val="Hypertextovodkaz"/>
                  <w:rFonts w:ascii="Tahoma" w:hAnsi="Tahoma" w:cs="Tahoma"/>
                  <w:color w:val="auto"/>
                  <w:shd w:val="clear" w:color="auto" w:fill="FFFFFF"/>
                  <w:lang w:eastAsia="en-US"/>
                </w:rPr>
                <w:t>posta.aac@uradprace.cz</w:t>
              </w:r>
            </w:hyperlink>
            <w:r w:rsidRPr="00EA6BC1">
              <w:rPr>
                <w:rStyle w:val="Hypertextovodkaz"/>
                <w:rFonts w:ascii="Tahoma" w:hAnsi="Tahoma" w:cs="Tahoma"/>
                <w:color w:val="auto"/>
                <w:shd w:val="clear" w:color="auto" w:fill="FFFFFF"/>
                <w:lang w:eastAsia="en-US"/>
              </w:rPr>
              <w:t xml:space="preserve">; </w:t>
            </w:r>
            <w:hyperlink r:id="rId11">
              <w:r w:rsidRPr="00EA6BC1">
                <w:rPr>
                  <w:rStyle w:val="Hypertextovodkaz"/>
                  <w:rFonts w:ascii="Tahoma" w:hAnsi="Tahoma" w:cs="Tahoma"/>
                  <w:color w:val="auto"/>
                  <w:shd w:val="clear" w:color="auto" w:fill="FFFFFF"/>
                  <w:lang w:eastAsia="en-US"/>
                </w:rPr>
                <w:t>posta.abb@uradprace.cz</w:t>
              </w:r>
            </w:hyperlink>
            <w:r w:rsidRPr="00EA6BC1">
              <w:rPr>
                <w:rStyle w:val="Hypertextovodkaz"/>
                <w:rFonts w:ascii="Tahoma" w:hAnsi="Tahoma" w:cs="Tahoma"/>
                <w:color w:val="auto"/>
                <w:shd w:val="clear" w:color="auto" w:fill="FFFFFF"/>
                <w:lang w:eastAsia="en-US"/>
              </w:rPr>
              <w:t xml:space="preserve">; </w:t>
            </w:r>
            <w:hyperlink r:id="rId12">
              <w:r w:rsidRPr="00EA6BC1">
                <w:rPr>
                  <w:rStyle w:val="Hypertextovodkaz"/>
                  <w:rFonts w:ascii="Tahoma" w:hAnsi="Tahoma" w:cs="Tahoma"/>
                  <w:color w:val="auto"/>
                  <w:shd w:val="clear" w:color="auto" w:fill="FFFFFF"/>
                  <w:lang w:eastAsia="en-US"/>
                </w:rPr>
                <w:t>podatelna.aa@uradprace.cz</w:t>
              </w:r>
            </w:hyperlink>
          </w:p>
        </w:tc>
      </w:tr>
      <w:tr w:rsidR="00EA6BC1" w:rsidRPr="00EA6BC1" w14:paraId="11BA126C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0AD80" w14:textId="77777777" w:rsidR="0067260E" w:rsidRPr="00EA6BC1" w:rsidRDefault="00D62E92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EA6BC1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5" behindDoc="0" locked="0" layoutInCell="1" allowOverlap="1" wp14:anchorId="65521C4D" wp14:editId="1A14931C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5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CAD1E" w14:textId="77777777" w:rsidR="0067260E" w:rsidRPr="00EA6BC1" w:rsidRDefault="00D62E92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lang w:eastAsia="en-US"/>
              </w:rPr>
            </w:pPr>
            <w:r w:rsidRPr="00EA6BC1">
              <w:rPr>
                <w:rFonts w:ascii="Tahoma" w:hAnsi="Tahoma" w:cs="Tahoma"/>
                <w:b/>
                <w:bCs/>
                <w:lang w:eastAsia="en-US"/>
              </w:rPr>
              <w:t>www.uradprace.cz</w:t>
            </w:r>
          </w:p>
        </w:tc>
      </w:tr>
    </w:tbl>
    <w:p w14:paraId="2A616764" w14:textId="77777777" w:rsidR="0067260E" w:rsidRPr="00EA6BC1" w:rsidRDefault="0067260E">
      <w:pPr>
        <w:pStyle w:val="pf0"/>
        <w:spacing w:before="280" w:after="280"/>
        <w:rPr>
          <w:rFonts w:ascii="Tahoma" w:hAnsi="Tahoma" w:cs="Tahoma"/>
          <w:b/>
          <w:bCs/>
        </w:rPr>
      </w:pPr>
    </w:p>
    <w:p w14:paraId="75C83CF8" w14:textId="77777777" w:rsidR="0067260E" w:rsidRPr="00EA6BC1" w:rsidRDefault="00D62E92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EA6BC1">
        <w:rPr>
          <w:rFonts w:ascii="Tahoma" w:hAnsi="Tahoma" w:cs="Tahoma"/>
          <w:b/>
          <w:bCs/>
        </w:rPr>
        <w:t xml:space="preserve">Popis objektu </w:t>
      </w:r>
    </w:p>
    <w:p w14:paraId="1DD7E78A" w14:textId="77777777" w:rsidR="0067260E" w:rsidRPr="00EA6BC1" w:rsidRDefault="00D62E92">
      <w:pPr>
        <w:widowControl w:val="0"/>
        <w:spacing w:before="48" w:line="240" w:lineRule="auto"/>
      </w:pPr>
      <w:r w:rsidRPr="00EA6BC1">
        <w:rPr>
          <w:rFonts w:ascii="Tahoma" w:hAnsi="Tahoma" w:cs="Tahoma"/>
          <w:sz w:val="20"/>
          <w:szCs w:val="20"/>
        </w:rPr>
        <w:t>Objekt je využíván jako kontaktní pracoviště pro Prahu 1, 2 a 3. Objekt je veřejnosti přístupný.</w:t>
      </w:r>
    </w:p>
    <w:p w14:paraId="7EDA4CE8" w14:textId="77777777" w:rsidR="0067260E" w:rsidRPr="00EA6BC1" w:rsidRDefault="00D62E92">
      <w:pPr>
        <w:pStyle w:val="pf0"/>
        <w:spacing w:before="280" w:after="280"/>
        <w:rPr>
          <w:rStyle w:val="cf01"/>
          <w:i/>
          <w:iCs/>
        </w:rPr>
      </w:pPr>
      <w:r w:rsidRPr="00EA6BC1">
        <w:rPr>
          <w:rFonts w:ascii="Tahoma" w:hAnsi="Tahoma" w:cs="Tahoma"/>
          <w:b/>
          <w:bCs/>
        </w:rPr>
        <w:t xml:space="preserve">Základní přehled přístupnosti </w:t>
      </w:r>
    </w:p>
    <w:p w14:paraId="17C54DD4" w14:textId="77777777" w:rsidR="0067260E" w:rsidRPr="00EA6BC1" w:rsidRDefault="00D62E92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EA6BC1">
        <w:rPr>
          <w:noProof/>
        </w:rPr>
        <w:drawing>
          <wp:inline distT="0" distB="0" distL="0" distR="0" wp14:anchorId="225C6A8C" wp14:editId="4E703A60">
            <wp:extent cx="306070" cy="306070"/>
            <wp:effectExtent l="0" t="0" r="0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BC1">
        <w:rPr>
          <w:rFonts w:ascii="Tahoma" w:hAnsi="Tahoma" w:cs="Tahoma"/>
          <w:sz w:val="24"/>
          <w:szCs w:val="24"/>
        </w:rPr>
        <w:t xml:space="preserve"> </w:t>
      </w:r>
      <w:r w:rsidRPr="00EA6BC1">
        <w:rPr>
          <w:noProof/>
        </w:rPr>
        <w:drawing>
          <wp:inline distT="0" distB="0" distL="0" distR="0" wp14:anchorId="427C5396" wp14:editId="369F6BBF">
            <wp:extent cx="299085" cy="299085"/>
            <wp:effectExtent l="0" t="0" r="0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BC1">
        <w:rPr>
          <w:rFonts w:ascii="Tahoma" w:hAnsi="Tahoma" w:cs="Tahoma"/>
        </w:rPr>
        <w:t xml:space="preserve"> </w:t>
      </w:r>
      <w:r w:rsidRPr="00EA6BC1">
        <w:rPr>
          <w:noProof/>
        </w:rPr>
        <w:drawing>
          <wp:inline distT="0" distB="0" distL="0" distR="0" wp14:anchorId="1CF55874" wp14:editId="0B4F1A5C">
            <wp:extent cx="295910" cy="298450"/>
            <wp:effectExtent l="0" t="0" r="0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BC1">
        <w:rPr>
          <w:rFonts w:ascii="Tahoma" w:hAnsi="Tahoma" w:cs="Tahoma"/>
        </w:rPr>
        <w:t xml:space="preserve"> </w:t>
      </w:r>
      <w:r w:rsidRPr="00EA6BC1">
        <w:rPr>
          <w:noProof/>
        </w:rPr>
        <w:drawing>
          <wp:inline distT="0" distB="0" distL="0" distR="0" wp14:anchorId="74B2E215" wp14:editId="0D983558">
            <wp:extent cx="290195" cy="295275"/>
            <wp:effectExtent l="0" t="0" r="0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BC1">
        <w:rPr>
          <w:rFonts w:ascii="Tahoma" w:hAnsi="Tahoma" w:cs="Tahoma"/>
        </w:rPr>
        <w:t xml:space="preserve"> </w:t>
      </w:r>
      <w:r w:rsidRPr="00EA6BC1">
        <w:rPr>
          <w:noProof/>
        </w:rPr>
        <w:drawing>
          <wp:inline distT="0" distB="0" distL="0" distR="0" wp14:anchorId="2343323C" wp14:editId="63EAE34A">
            <wp:extent cx="286385" cy="286385"/>
            <wp:effectExtent l="0" t="0" r="0" b="0"/>
            <wp:docPr id="1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BC1">
        <w:rPr>
          <w:rFonts w:ascii="Tahoma" w:hAnsi="Tahoma" w:cs="Tahoma"/>
        </w:rPr>
        <w:t xml:space="preserve">  </w:t>
      </w:r>
    </w:p>
    <w:p w14:paraId="07478713" w14:textId="77777777" w:rsidR="0067260E" w:rsidRPr="00EA6BC1" w:rsidRDefault="0067260E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5E159B33" w14:textId="77777777" w:rsidR="0067260E" w:rsidRPr="00EA6BC1" w:rsidRDefault="00D62E92">
      <w:pPr>
        <w:widowControl w:val="0"/>
        <w:spacing w:before="53"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EA6BC1">
        <w:rPr>
          <w:rFonts w:ascii="Tahoma" w:hAnsi="Tahoma" w:cs="Tahoma"/>
          <w:b/>
          <w:bCs/>
          <w:sz w:val="24"/>
          <w:szCs w:val="24"/>
        </w:rPr>
        <w:t xml:space="preserve">Uživatelský popis </w:t>
      </w:r>
    </w:p>
    <w:p w14:paraId="7DEFCF50" w14:textId="77777777" w:rsidR="0067260E" w:rsidRPr="00EA6BC1" w:rsidRDefault="0067260E">
      <w:pPr>
        <w:widowControl w:val="0"/>
        <w:spacing w:before="48" w:line="240" w:lineRule="auto"/>
        <w:rPr>
          <w:rFonts w:ascii="Tahoma" w:hAnsi="Tahoma" w:cs="Tahoma"/>
          <w:sz w:val="20"/>
          <w:szCs w:val="20"/>
        </w:rPr>
      </w:pPr>
    </w:p>
    <w:p w14:paraId="73F11D74" w14:textId="77777777" w:rsidR="0067260E" w:rsidRPr="00EA6BC1" w:rsidRDefault="00D62E92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 w:rsidRPr="00EA6BC1">
        <w:rPr>
          <w:rFonts w:ascii="Tahoma" w:hAnsi="Tahoma" w:cs="Tahoma"/>
          <w:b/>
          <w:bCs/>
          <w:sz w:val="24"/>
          <w:szCs w:val="24"/>
        </w:rPr>
        <w:t xml:space="preserve">Vstup </w:t>
      </w:r>
      <w:r w:rsidRPr="00EA6BC1">
        <w:rPr>
          <w:rFonts w:ascii="Tahoma" w:hAnsi="Tahoma" w:cs="Tahoma"/>
          <w:sz w:val="20"/>
          <w:szCs w:val="20"/>
        </w:rPr>
        <w:t>Povrch chodníku před vstupem do budovy je tvořen drobnou kamennou kostkou. Do budovy se vstupuje přes 1 schod výšky 10 cm, šířky 158 cm a hloubky 46 cm. Dveře hlavního vstupu do budovy jsou široké 158 cm a otevírají se manuálně. Pro osoby s omezenou schopností pohybu je k dispozici zvonková signalizace pro přivolání asistence – instalace rampy a pomoc s otevřením dveří. Zvonková signalizace je umístěna vlevo od vstupních dveří ve výšce 150 cm.</w:t>
      </w:r>
    </w:p>
    <w:p w14:paraId="0403F2D7" w14:textId="77777777" w:rsidR="0067260E" w:rsidRPr="00EA6BC1" w:rsidRDefault="00D62E92">
      <w:pPr>
        <w:widowControl w:val="0"/>
        <w:spacing w:before="53" w:after="0" w:line="240" w:lineRule="auto"/>
      </w:pPr>
      <w:r w:rsidRPr="00EA6BC1">
        <w:rPr>
          <w:rFonts w:ascii="Tahoma" w:hAnsi="Tahoma" w:cs="Tahoma"/>
          <w:sz w:val="20"/>
          <w:szCs w:val="20"/>
        </w:rPr>
        <w:t xml:space="preserve">Vstup do objektu je jediný a </w:t>
      </w:r>
      <w:proofErr w:type="gramStart"/>
      <w:r w:rsidRPr="00EA6BC1">
        <w:rPr>
          <w:rFonts w:ascii="Tahoma" w:hAnsi="Tahoma" w:cs="Tahoma"/>
          <w:sz w:val="20"/>
          <w:szCs w:val="20"/>
        </w:rPr>
        <w:t>slouží</w:t>
      </w:r>
      <w:proofErr w:type="gramEnd"/>
      <w:r w:rsidRPr="00EA6BC1">
        <w:rPr>
          <w:rFonts w:ascii="Tahoma" w:hAnsi="Tahoma" w:cs="Tahoma"/>
          <w:sz w:val="20"/>
          <w:szCs w:val="20"/>
        </w:rPr>
        <w:t xml:space="preserve"> pro obě budovy – Bělehradská 86 a Bělehradská 88. </w:t>
      </w:r>
    </w:p>
    <w:p w14:paraId="2687D3C9" w14:textId="77777777" w:rsidR="0067260E" w:rsidRPr="00EA6BC1" w:rsidRDefault="00D62E92">
      <w:pPr>
        <w:pStyle w:val="pf0"/>
        <w:spacing w:before="280" w:after="280"/>
        <w:jc w:val="both"/>
      </w:pPr>
      <w:r w:rsidRPr="00EA6BC1">
        <w:rPr>
          <w:rFonts w:ascii="Tahoma" w:hAnsi="Tahoma" w:cs="Tahoma"/>
          <w:b/>
          <w:bCs/>
        </w:rPr>
        <w:t xml:space="preserve">Interiér </w:t>
      </w:r>
      <w:r w:rsidRPr="00EA6BC1">
        <w:rPr>
          <w:rFonts w:ascii="Tahoma" w:hAnsi="Tahoma" w:cs="Tahoma"/>
          <w:sz w:val="20"/>
          <w:szCs w:val="20"/>
        </w:rPr>
        <w:t>Ve vstupní hale se nachází orientační plán pro klienty, stanoviště ostrahy a podatelna. Jednotlivá podlaží jsou využívána následovně:</w:t>
      </w:r>
    </w:p>
    <w:p w14:paraId="43D489E8" w14:textId="26AF392B" w:rsidR="0067260E" w:rsidRPr="00EA6BC1" w:rsidRDefault="00D62E92">
      <w:pPr>
        <w:pStyle w:val="pf0"/>
        <w:spacing w:after="0"/>
      </w:pPr>
      <w:r w:rsidRPr="00EA6BC1">
        <w:rPr>
          <w:rFonts w:ascii="Tahoma" w:hAnsi="Tahoma" w:cs="Tahoma"/>
          <w:sz w:val="20"/>
          <w:szCs w:val="20"/>
        </w:rPr>
        <w:t>1.</w:t>
      </w:r>
      <w:proofErr w:type="gramStart"/>
      <w:r w:rsidRPr="00EA6BC1">
        <w:rPr>
          <w:rFonts w:ascii="Tahoma" w:hAnsi="Tahoma" w:cs="Tahoma"/>
          <w:sz w:val="20"/>
          <w:szCs w:val="20"/>
        </w:rPr>
        <w:t>NP</w:t>
      </w:r>
      <w:r w:rsidRPr="00EA6BC1">
        <w:rPr>
          <w:rFonts w:ascii="Arial" w:hAnsi="Arial" w:cs="Arial"/>
          <w:sz w:val="20"/>
          <w:szCs w:val="20"/>
        </w:rPr>
        <w:t xml:space="preserve"> - podatelna</w:t>
      </w:r>
      <w:proofErr w:type="gramEnd"/>
      <w:r w:rsidRPr="00EA6BC1">
        <w:rPr>
          <w:rFonts w:ascii="Arial" w:hAnsi="Arial" w:cs="Arial"/>
          <w:sz w:val="20"/>
          <w:szCs w:val="20"/>
        </w:rPr>
        <w:t>, klientská zóna</w:t>
      </w:r>
    </w:p>
    <w:p w14:paraId="4BBB527C" w14:textId="77777777" w:rsidR="0067260E" w:rsidRPr="00EA6BC1" w:rsidRDefault="00D62E92">
      <w:pPr>
        <w:pStyle w:val="pf0"/>
        <w:spacing w:before="280" w:after="280"/>
      </w:pPr>
      <w:r w:rsidRPr="00EA6BC1">
        <w:rPr>
          <w:rFonts w:ascii="Tahoma" w:hAnsi="Tahoma" w:cs="Tahoma"/>
          <w:sz w:val="20"/>
          <w:szCs w:val="20"/>
        </w:rPr>
        <w:t>2.</w:t>
      </w:r>
      <w:proofErr w:type="gramStart"/>
      <w:r w:rsidRPr="00EA6BC1">
        <w:rPr>
          <w:rFonts w:ascii="Tahoma" w:hAnsi="Tahoma" w:cs="Tahoma"/>
          <w:sz w:val="20"/>
          <w:szCs w:val="20"/>
        </w:rPr>
        <w:t>NP</w:t>
      </w:r>
      <w:r w:rsidRPr="00EA6BC1">
        <w:rPr>
          <w:rFonts w:ascii="Arial" w:hAnsi="Arial" w:cs="Arial"/>
          <w:i/>
          <w:iCs/>
          <w:sz w:val="20"/>
          <w:szCs w:val="20"/>
        </w:rPr>
        <w:t xml:space="preserve"> - </w:t>
      </w:r>
      <w:r w:rsidRPr="00EA6BC1">
        <w:rPr>
          <w:rFonts w:ascii="Arial" w:hAnsi="Arial" w:cs="Arial"/>
          <w:sz w:val="20"/>
          <w:szCs w:val="20"/>
        </w:rPr>
        <w:t>klientská</w:t>
      </w:r>
      <w:proofErr w:type="gramEnd"/>
      <w:r w:rsidRPr="00EA6BC1">
        <w:rPr>
          <w:rFonts w:ascii="Arial" w:hAnsi="Arial" w:cs="Arial"/>
          <w:sz w:val="20"/>
          <w:szCs w:val="20"/>
        </w:rPr>
        <w:t xml:space="preserve"> zóna, </w:t>
      </w:r>
    </w:p>
    <w:p w14:paraId="6C584AA4" w14:textId="77777777" w:rsidR="0067260E" w:rsidRPr="00EA6BC1" w:rsidRDefault="00D62E92">
      <w:pPr>
        <w:pStyle w:val="pf0"/>
        <w:spacing w:before="280" w:after="280"/>
      </w:pPr>
      <w:r w:rsidRPr="00EA6BC1">
        <w:rPr>
          <w:rFonts w:ascii="Tahoma" w:hAnsi="Tahoma" w:cs="Tahoma"/>
          <w:sz w:val="20"/>
          <w:szCs w:val="20"/>
        </w:rPr>
        <w:t>3.NP</w:t>
      </w:r>
      <w:r w:rsidRPr="00EA6BC1">
        <w:rPr>
          <w:rFonts w:ascii="Arial" w:hAnsi="Arial" w:cs="Arial"/>
          <w:i/>
          <w:iCs/>
          <w:sz w:val="20"/>
          <w:szCs w:val="20"/>
        </w:rPr>
        <w:t xml:space="preserve"> – </w:t>
      </w:r>
      <w:r w:rsidRPr="00EA6BC1">
        <w:rPr>
          <w:rFonts w:ascii="Arial" w:hAnsi="Arial" w:cs="Arial"/>
          <w:sz w:val="20"/>
          <w:szCs w:val="20"/>
        </w:rPr>
        <w:t>klientská zóna</w:t>
      </w:r>
    </w:p>
    <w:p w14:paraId="12346F7D" w14:textId="77777777" w:rsidR="0067260E" w:rsidRPr="00EA6BC1" w:rsidRDefault="0067260E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00A5D645" w14:textId="77777777" w:rsidR="0067260E" w:rsidRPr="00EA6BC1" w:rsidRDefault="00D62E92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EA6BC1">
        <w:rPr>
          <w:rFonts w:ascii="Tahoma" w:hAnsi="Tahoma" w:cs="Tahoma"/>
          <w:b/>
          <w:bCs/>
          <w:sz w:val="24"/>
          <w:szCs w:val="24"/>
        </w:rPr>
        <w:lastRenderedPageBreak/>
        <w:t xml:space="preserve">Výtah </w:t>
      </w:r>
      <w:r w:rsidRPr="00EA6BC1">
        <w:rPr>
          <w:rFonts w:ascii="Tahoma" w:hAnsi="Tahoma" w:cs="Tahoma"/>
          <w:sz w:val="20"/>
          <w:szCs w:val="20"/>
        </w:rPr>
        <w:t xml:space="preserve">Klientům je k dispozici 1 výtah </w:t>
      </w:r>
      <w:r w:rsidRPr="00EA6BC1">
        <w:rPr>
          <w:rStyle w:val="cf01"/>
          <w:rFonts w:ascii="Tahoma" w:hAnsi="Tahoma" w:cs="Tahoma"/>
          <w:sz w:val="20"/>
          <w:szCs w:val="20"/>
        </w:rPr>
        <w:t>umístěný vpravo ze vstupní haly. Rozměry výtahové kabiny: šířka 73 cm / hloubka 210 cm. Vnější a vnitřní dveře výtahu se ovládají manuálně. Ve výtahu nejsou označena tlačítka pro slabozraké, zvukové hlášení není instalováno.</w:t>
      </w:r>
    </w:p>
    <w:p w14:paraId="7519CFF5" w14:textId="77777777" w:rsidR="0067260E" w:rsidRPr="00EA6BC1" w:rsidRDefault="00D62E92">
      <w:pPr>
        <w:pStyle w:val="pf0"/>
        <w:spacing w:before="280" w:after="280"/>
        <w:jc w:val="both"/>
      </w:pPr>
      <w:r w:rsidRPr="00EA6BC1">
        <w:rPr>
          <w:rFonts w:ascii="Tahoma" w:hAnsi="Tahoma" w:cs="Tahoma"/>
          <w:b/>
          <w:bCs/>
        </w:rPr>
        <w:t xml:space="preserve">Hygienické zázemí </w:t>
      </w:r>
      <w:r w:rsidRPr="00EA6BC1">
        <w:rPr>
          <w:rStyle w:val="cf01"/>
          <w:sz w:val="20"/>
          <w:szCs w:val="20"/>
        </w:rPr>
        <w:t>V budově není k dispozici toaleta pro osoby s omezenou schopností pohybu.</w:t>
      </w:r>
    </w:p>
    <w:p w14:paraId="7A4BE15D" w14:textId="77777777" w:rsidR="0067260E" w:rsidRPr="00EA6BC1" w:rsidRDefault="00D62E92">
      <w:pPr>
        <w:pStyle w:val="pf0"/>
        <w:spacing w:before="280" w:after="280"/>
        <w:jc w:val="both"/>
      </w:pPr>
      <w:r w:rsidRPr="00EA6BC1">
        <w:rPr>
          <w:rFonts w:ascii="Tahoma" w:hAnsi="Tahoma" w:cs="Tahoma"/>
          <w:b/>
          <w:bCs/>
        </w:rPr>
        <w:t xml:space="preserve">Parkování </w:t>
      </w:r>
      <w:r w:rsidRPr="00EA6BC1">
        <w:rPr>
          <w:rFonts w:ascii="Tahoma" w:hAnsi="Tahoma" w:cs="Tahoma"/>
          <w:sz w:val="20"/>
          <w:szCs w:val="20"/>
        </w:rPr>
        <w:t>Objekt nedisponuje vlastní parkovací plochou pro vozidla klientů. Pro parkování lze využít přilehlé komunikace s vyznačenými parkovacími zónami, např. v ulici Bělehradská.</w:t>
      </w:r>
    </w:p>
    <w:p w14:paraId="4C119FCD" w14:textId="77777777" w:rsidR="0067260E" w:rsidRPr="00EA6BC1" w:rsidRDefault="00D62E92">
      <w:pPr>
        <w:pStyle w:val="pf0"/>
        <w:spacing w:before="280" w:after="280"/>
        <w:rPr>
          <w:rFonts w:ascii="Tahoma" w:hAnsi="Tahoma" w:cs="Tahoma"/>
          <w:b/>
        </w:rPr>
      </w:pPr>
      <w:r w:rsidRPr="00EA6BC1">
        <w:rPr>
          <w:rFonts w:ascii="Tahoma" w:hAnsi="Tahoma" w:cs="Tahoma"/>
          <w:b/>
        </w:rPr>
        <w:t xml:space="preserve">Fotodokumentace </w:t>
      </w:r>
    </w:p>
    <w:p w14:paraId="4352B9A8" w14:textId="2B7C2491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493A1B2" wp14:editId="2F91A8D2">
            <wp:extent cx="1619346" cy="3597261"/>
            <wp:effectExtent l="0" t="0" r="0" b="0"/>
            <wp:docPr id="920517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15" cy="36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BC1">
        <w:rPr>
          <w:rFonts w:ascii="Arial" w:hAnsi="Arial" w:cs="Arial"/>
          <w:i/>
          <w:iCs/>
          <w:sz w:val="20"/>
          <w:szCs w:val="20"/>
        </w:rPr>
        <w:t xml:space="preserve">          </w:t>
      </w: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D13D29A" wp14:editId="330A5CAA">
            <wp:extent cx="1628775" cy="3618207"/>
            <wp:effectExtent l="0" t="0" r="0" b="0"/>
            <wp:docPr id="177855870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2487" cy="36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BC1">
        <w:rPr>
          <w:rFonts w:ascii="Arial" w:hAnsi="Arial" w:cs="Arial"/>
          <w:i/>
          <w:iCs/>
          <w:sz w:val="20"/>
          <w:szCs w:val="20"/>
        </w:rPr>
        <w:t xml:space="preserve">            </w:t>
      </w: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0D4186DF" wp14:editId="6B0ED4E6">
            <wp:extent cx="1619250" cy="3597048"/>
            <wp:effectExtent l="0" t="0" r="0" b="0"/>
            <wp:docPr id="5836766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841" cy="36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5BE9" w14:textId="53970DFC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26CD7B2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E4E090B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0445052" w14:textId="464A6752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EE16A90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3495849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14E26CC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B910FFD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236C46D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4B56B38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1C11380E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E1CA6A5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E3AF5D4" w14:textId="36C846E9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E4AB4FB" wp14:editId="189018A9">
            <wp:extent cx="2057400" cy="4570365"/>
            <wp:effectExtent l="0" t="0" r="0" b="0"/>
            <wp:docPr id="14401792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9354" cy="45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BC1">
        <w:rPr>
          <w:rFonts w:ascii="Arial" w:hAnsi="Arial" w:cs="Arial"/>
          <w:i/>
          <w:iCs/>
          <w:noProof/>
          <w:sz w:val="20"/>
          <w:szCs w:val="20"/>
        </w:rPr>
        <w:t xml:space="preserve">                                                 </w:t>
      </w: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7F74BA24" wp14:editId="3F8CD339">
            <wp:extent cx="1967865" cy="4371471"/>
            <wp:effectExtent l="0" t="0" r="0" b="0"/>
            <wp:docPr id="118600612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4172" cy="44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539B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E504FD1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21E09C2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0CF1401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903A048" w14:textId="2DEA9595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EA6BC1">
        <w:rPr>
          <w:rFonts w:ascii="Arial" w:hAnsi="Arial" w:cs="Arial"/>
          <w:i/>
          <w:iCs/>
          <w:noProof/>
          <w:sz w:val="20"/>
          <w:szCs w:val="20"/>
        </w:rPr>
        <w:lastRenderedPageBreak/>
        <w:drawing>
          <wp:inline distT="0" distB="0" distL="0" distR="0" wp14:anchorId="56EEC559" wp14:editId="606C8DE7">
            <wp:extent cx="2323977" cy="5162550"/>
            <wp:effectExtent l="0" t="0" r="0" b="0"/>
            <wp:docPr id="101683118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87" cy="51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BC1">
        <w:rPr>
          <w:rFonts w:ascii="Arial" w:hAnsi="Arial" w:cs="Arial"/>
          <w:i/>
          <w:iCs/>
          <w:noProof/>
          <w:sz w:val="20"/>
          <w:szCs w:val="20"/>
        </w:rPr>
        <w:t xml:space="preserve">                             </w:t>
      </w: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37FAFF5" wp14:editId="1D51A67B">
            <wp:extent cx="2345416" cy="5210175"/>
            <wp:effectExtent l="0" t="0" r="0" b="0"/>
            <wp:docPr id="72121642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3723" cy="5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95CB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8F5D8D1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D2444B2" w14:textId="07047692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70DF5CC5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39249F78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11DBE2F2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3CBFDBF6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1AD0E338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394E3821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19F79428" w14:textId="77777777" w:rsidR="00070CFF" w:rsidRPr="00EA6BC1" w:rsidRDefault="00070CFF">
      <w:pPr>
        <w:pStyle w:val="pf0"/>
        <w:spacing w:before="280" w:after="280"/>
        <w:rPr>
          <w:rFonts w:ascii="Arial" w:hAnsi="Arial" w:cs="Arial"/>
          <w:i/>
          <w:iCs/>
          <w:noProof/>
          <w:sz w:val="20"/>
          <w:szCs w:val="20"/>
        </w:rPr>
      </w:pPr>
    </w:p>
    <w:p w14:paraId="50FBE49A" w14:textId="77777777" w:rsidR="00070CFF" w:rsidRPr="00EA6BC1" w:rsidRDefault="00070CFF" w:rsidP="00070CFF">
      <w:pPr>
        <w:pStyle w:val="pf0"/>
        <w:spacing w:before="280" w:after="280"/>
        <w:jc w:val="center"/>
        <w:rPr>
          <w:rFonts w:ascii="Arial" w:hAnsi="Arial" w:cs="Arial"/>
          <w:i/>
          <w:iCs/>
          <w:sz w:val="20"/>
          <w:szCs w:val="20"/>
        </w:rPr>
      </w:pPr>
    </w:p>
    <w:p w14:paraId="1E79C5A8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B0EE1C5" w14:textId="04684393" w:rsidR="00E64A69" w:rsidRPr="00EA6BC1" w:rsidRDefault="00070CFF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133A2ABC" wp14:editId="0B84ED5C">
            <wp:extent cx="1924832" cy="4275877"/>
            <wp:effectExtent l="0" t="0" r="0" b="0"/>
            <wp:docPr id="92744801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12" cy="43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BC1">
        <w:rPr>
          <w:rFonts w:ascii="Arial" w:hAnsi="Arial" w:cs="Arial"/>
          <w:i/>
          <w:iCs/>
          <w:sz w:val="20"/>
          <w:szCs w:val="20"/>
        </w:rPr>
        <w:t xml:space="preserve">                                         </w:t>
      </w:r>
      <w:r w:rsidRPr="00EA6B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4391B60" wp14:editId="2EF51720">
            <wp:extent cx="1929336" cy="4285884"/>
            <wp:effectExtent l="0" t="0" r="0" b="0"/>
            <wp:docPr id="176696339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35" cy="430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FB37" w14:textId="77777777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594059A4" w14:textId="72B418ED" w:rsidR="00E64A69" w:rsidRPr="00EA6BC1" w:rsidRDefault="00E64A69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sectPr w:rsidR="00E64A69" w:rsidRPr="00EA6BC1">
      <w:footerReference w:type="default" r:id="rId28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6F473" w14:textId="77777777" w:rsidR="008555CF" w:rsidRDefault="008555CF" w:rsidP="008555CF">
      <w:pPr>
        <w:spacing w:after="0" w:line="240" w:lineRule="auto"/>
      </w:pPr>
      <w:r>
        <w:separator/>
      </w:r>
    </w:p>
  </w:endnote>
  <w:endnote w:type="continuationSeparator" w:id="0">
    <w:p w14:paraId="3B149DCA" w14:textId="77777777" w:rsidR="008555CF" w:rsidRDefault="008555CF" w:rsidP="00855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59564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85B7F1D" w14:textId="0BFB4E91" w:rsidR="008555CF" w:rsidRDefault="008555CF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21F60A" w14:textId="77777777" w:rsidR="008555CF" w:rsidRDefault="008555C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FE8E5" w14:textId="77777777" w:rsidR="008555CF" w:rsidRDefault="008555CF" w:rsidP="008555CF">
      <w:pPr>
        <w:spacing w:after="0" w:line="240" w:lineRule="auto"/>
      </w:pPr>
      <w:r>
        <w:separator/>
      </w:r>
    </w:p>
  </w:footnote>
  <w:footnote w:type="continuationSeparator" w:id="0">
    <w:p w14:paraId="5E56BED4" w14:textId="77777777" w:rsidR="008555CF" w:rsidRDefault="008555CF" w:rsidP="00855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60E"/>
    <w:rsid w:val="00070CFF"/>
    <w:rsid w:val="001F52EB"/>
    <w:rsid w:val="0023726D"/>
    <w:rsid w:val="0028491E"/>
    <w:rsid w:val="00421DD9"/>
    <w:rsid w:val="0067260E"/>
    <w:rsid w:val="008555CF"/>
    <w:rsid w:val="00D03164"/>
    <w:rsid w:val="00D62E92"/>
    <w:rsid w:val="00DB4ABB"/>
    <w:rsid w:val="00E64A69"/>
    <w:rsid w:val="00EA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9B9AA"/>
  <w15:docId w15:val="{84BD3DE3-C997-4BA4-923F-5CF40F624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dpis3">
    <w:name w:val="heading 3"/>
    <w:basedOn w:val="Nadpis"/>
    <w:next w:val="Zkladntext"/>
    <w:qFormat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55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55CF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5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55CF"/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mailto:podatelna.aa@uradprace.cz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osta.abb@uradprace.cz" TargetMode="Externa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mailto:posta.aac@uradprace.cz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mojedatovaschranka.cz/sds/detail?dbid=wymxm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5</Pages>
  <Words>316</Words>
  <Characters>1866</Characters>
  <Application>Microsoft Office Word</Application>
  <DocSecurity>0</DocSecurity>
  <Lines>15</Lines>
  <Paragraphs>4</Paragraphs>
  <ScaleCrop>false</ScaleCrop>
  <Company>ÚZSVM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30</cp:revision>
  <dcterms:created xsi:type="dcterms:W3CDTF">2025-03-04T08:18:00Z</dcterms:created>
  <dcterms:modified xsi:type="dcterms:W3CDTF">2025-05-02T09:42:00Z</dcterms:modified>
  <dc:language>cs-CZ</dc:language>
</cp:coreProperties>
</file>